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tbl>
      <w:tblPr>
        <w:tblStyle w:val="5"/>
        <w:tblW w:w="10466" w:type="dxa"/>
        <w:tblInd w:w="25" w:type="dxa"/>
        <w:tblLayout w:type="fixed"/>
        <w:tblCellMar>
          <w:top w:w="0" w:type="dxa"/>
          <w:left w:w="108" w:type="dxa"/>
          <w:bottom w:w="0" w:type="dxa"/>
          <w:right w:w="108" w:type="dxa"/>
        </w:tblCellMar>
      </w:tblPr>
      <w:tblGrid>
        <w:gridCol w:w="490"/>
        <w:gridCol w:w="1527"/>
        <w:gridCol w:w="5354"/>
        <w:gridCol w:w="1276"/>
        <w:gridCol w:w="1819"/>
      </w:tblGrid>
      <w:tr>
        <w:tblPrEx>
          <w:tblCellMar>
            <w:top w:w="0" w:type="dxa"/>
            <w:left w:w="108" w:type="dxa"/>
            <w:bottom w:w="0" w:type="dxa"/>
            <w:right w:w="108" w:type="dxa"/>
          </w:tblCellMar>
        </w:tblPrEx>
        <w:trPr>
          <w:trHeight w:val="765" w:hRule="atLeast"/>
        </w:trPr>
        <w:tc>
          <w:tcPr>
            <w:tcW w:w="10466" w:type="dxa"/>
            <w:gridSpan w:val="5"/>
            <w:tcBorders>
              <w:top w:val="nil"/>
              <w:left w:val="nil"/>
              <w:bottom w:val="nil"/>
              <w:right w:val="nil"/>
            </w:tcBorders>
            <w:shd w:val="clear" w:color="auto" w:fill="auto"/>
            <w:noWrap/>
            <w:vAlign w:val="center"/>
          </w:tcPr>
          <w:p>
            <w:pPr>
              <w:widowControl/>
              <w:jc w:val="center"/>
              <w:rPr>
                <w:rFonts w:ascii="黑体" w:hAnsi="黑体" w:eastAsia="黑体" w:cs="宋体"/>
                <w:kern w:val="0"/>
                <w:sz w:val="36"/>
                <w:szCs w:val="36"/>
              </w:rPr>
            </w:pPr>
            <w:r>
              <w:rPr>
                <w:rFonts w:hint="eastAsia" w:ascii="黑体" w:hAnsi="黑体" w:eastAsia="黑体" w:cs="宋体"/>
                <w:kern w:val="0"/>
                <w:sz w:val="36"/>
                <w:szCs w:val="36"/>
              </w:rPr>
              <w:t>浙江大学因公出国（境）团组</w:t>
            </w:r>
            <w:r>
              <w:rPr>
                <w:rFonts w:hint="eastAsia" w:ascii="黑体" w:hAnsi="黑体" w:eastAsia="黑体" w:cs="宋体"/>
                <w:kern w:val="0"/>
                <w:sz w:val="36"/>
                <w:szCs w:val="36"/>
                <w:lang w:val="en-US" w:eastAsia="zh-CN"/>
              </w:rPr>
              <w:t>访问</w:t>
            </w:r>
            <w:r>
              <w:rPr>
                <w:rFonts w:ascii="黑体" w:hAnsi="黑体" w:eastAsia="黑体" w:cs="宋体"/>
                <w:kern w:val="0"/>
                <w:sz w:val="36"/>
                <w:szCs w:val="36"/>
              </w:rPr>
              <w:t>报告</w:t>
            </w:r>
            <w:r>
              <w:rPr>
                <w:rFonts w:hint="eastAsia" w:ascii="黑体" w:hAnsi="黑体" w:eastAsia="黑体" w:cs="宋体"/>
                <w:kern w:val="0"/>
                <w:sz w:val="36"/>
                <w:szCs w:val="36"/>
              </w:rPr>
              <w:t>公示</w:t>
            </w:r>
          </w:p>
        </w:tc>
      </w:tr>
      <w:tr>
        <w:tblPrEx>
          <w:tblCellMar>
            <w:top w:w="0" w:type="dxa"/>
            <w:left w:w="108" w:type="dxa"/>
            <w:bottom w:w="0" w:type="dxa"/>
            <w:right w:w="108" w:type="dxa"/>
          </w:tblCellMar>
        </w:tblPrEx>
        <w:trPr>
          <w:trHeight w:val="390" w:hRule="atLeast"/>
        </w:trPr>
        <w:tc>
          <w:tcPr>
            <w:tcW w:w="10466" w:type="dxa"/>
            <w:gridSpan w:val="5"/>
            <w:tcBorders>
              <w:top w:val="nil"/>
              <w:left w:val="nil"/>
              <w:bottom w:val="nil"/>
              <w:right w:val="nil"/>
            </w:tcBorders>
            <w:shd w:val="clear" w:color="auto" w:fill="auto"/>
            <w:noWrap/>
            <w:vAlign w:val="center"/>
          </w:tcPr>
          <w:p>
            <w:pPr>
              <w:widowControl/>
              <w:jc w:val="center"/>
              <w:rPr>
                <w:rFonts w:ascii="华文仿宋" w:hAnsi="华文仿宋" w:eastAsia="华文仿宋" w:cs="宋体"/>
                <w:kern w:val="0"/>
                <w:sz w:val="28"/>
                <w:szCs w:val="28"/>
              </w:rPr>
            </w:pPr>
          </w:p>
        </w:tc>
      </w:tr>
      <w:tr>
        <w:tblPrEx>
          <w:tblCellMar>
            <w:top w:w="0" w:type="dxa"/>
            <w:left w:w="108" w:type="dxa"/>
            <w:bottom w:w="0" w:type="dxa"/>
            <w:right w:w="108" w:type="dxa"/>
          </w:tblCellMar>
        </w:tblPrEx>
        <w:trPr>
          <w:trHeight w:val="642" w:hRule="atLeast"/>
        </w:trPr>
        <w:tc>
          <w:tcPr>
            <w:tcW w:w="490" w:type="dxa"/>
            <w:vMerge w:val="restart"/>
            <w:tcBorders>
              <w:top w:val="single" w:color="auto" w:sz="8" w:space="0"/>
              <w:left w:val="single" w:color="auto" w:sz="8"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基     本    信息</w:t>
            </w:r>
          </w:p>
        </w:tc>
        <w:tc>
          <w:tcPr>
            <w:tcW w:w="1527" w:type="dxa"/>
            <w:tcBorders>
              <w:top w:val="single" w:color="auto" w:sz="8"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rPr>
              <w:t>团组名称</w:t>
            </w:r>
          </w:p>
        </w:tc>
        <w:tc>
          <w:tcPr>
            <w:tcW w:w="8449" w:type="dxa"/>
            <w:gridSpan w:val="3"/>
            <w:tcBorders>
              <w:top w:val="single" w:color="auto" w:sz="8" w:space="0"/>
              <w:left w:val="nil"/>
              <w:bottom w:val="single" w:color="auto" w:sz="4" w:space="0"/>
              <w:right w:val="single" w:color="000000" w:sz="8"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浙江大学周青1人出访</w:t>
            </w:r>
          </w:p>
        </w:tc>
      </w:tr>
      <w:tr>
        <w:tblPrEx>
          <w:tblCellMar>
            <w:top w:w="0" w:type="dxa"/>
            <w:left w:w="108" w:type="dxa"/>
            <w:bottom w:w="0" w:type="dxa"/>
            <w:right w:w="108" w:type="dxa"/>
          </w:tblCellMar>
        </w:tblPrEx>
        <w:trPr>
          <w:trHeight w:val="1022" w:hRule="atLeast"/>
        </w:trPr>
        <w:tc>
          <w:tcPr>
            <w:tcW w:w="490" w:type="dxa"/>
            <w:vMerge w:val="continue"/>
            <w:tcBorders>
              <w:left w:val="single" w:color="auto"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8"/>
                <w:szCs w:val="28"/>
              </w:rPr>
            </w:pPr>
            <w:r>
              <w:rPr>
                <w:rFonts w:hint="eastAsia" w:ascii="黑体" w:hAnsi="黑体" w:eastAsia="黑体" w:cs="宋体"/>
                <w:kern w:val="0"/>
                <w:sz w:val="28"/>
                <w:szCs w:val="28"/>
                <w:lang w:val="en-US" w:eastAsia="zh-CN"/>
              </w:rPr>
              <w:t>访问</w:t>
            </w:r>
            <w:r>
              <w:rPr>
                <w:rFonts w:hint="eastAsia" w:ascii="黑体" w:hAnsi="黑体" w:eastAsia="黑体" w:cs="宋体"/>
                <w:kern w:val="0"/>
                <w:sz w:val="28"/>
                <w:szCs w:val="28"/>
              </w:rPr>
              <w:t>期限</w:t>
            </w:r>
          </w:p>
        </w:tc>
        <w:tc>
          <w:tcPr>
            <w:tcW w:w="5354" w:type="dxa"/>
            <w:tcBorders>
              <w:top w:val="nil"/>
              <w:left w:val="nil"/>
              <w:bottom w:val="single" w:color="auto" w:sz="4" w:space="0"/>
              <w:right w:val="single" w:color="auto" w:sz="4"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2025-01-22</w:t>
            </w:r>
            <w:r>
              <w:rPr>
                <w:rFonts w:hint="eastAsia" w:ascii="华文仿宋" w:hAnsi="华文仿宋" w:eastAsia="华文仿宋" w:cs="宋体"/>
                <w:kern w:val="0"/>
                <w:sz w:val="28"/>
                <w:szCs w:val="28"/>
              </w:rPr>
              <w:t>至</w:t>
            </w:r>
            <w:r>
              <w:rPr>
                <w:rFonts w:hint="eastAsia" w:ascii="华文仿宋" w:hAnsi="华文仿宋" w:eastAsia="华文仿宋" w:cs="宋体"/>
                <w:kern w:val="0"/>
                <w:sz w:val="28"/>
                <w:szCs w:val="28"/>
              </w:rPr>
              <w:t>2025-01-26</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在外时间</w:t>
            </w:r>
          </w:p>
        </w:tc>
        <w:tc>
          <w:tcPr>
            <w:tcW w:w="1819" w:type="dxa"/>
            <w:tcBorders>
              <w:top w:val="nil"/>
              <w:left w:val="nil"/>
              <w:bottom w:val="single" w:color="auto" w:sz="4" w:space="0"/>
              <w:right w:val="single" w:color="auto" w:sz="8" w:space="0"/>
            </w:tcBorders>
            <w:shd w:val="clear" w:color="auto" w:fill="auto"/>
            <w:noWrap/>
            <w:vAlign w:val="center"/>
          </w:tcPr>
          <w:p>
            <w:pPr>
              <w:widowControl/>
              <w:jc w:val="center"/>
              <w:rPr>
                <w:rFonts w:ascii="华文仿宋" w:hAnsi="华文仿宋" w:eastAsia="华文仿宋" w:cs="宋体"/>
                <w:kern w:val="0"/>
                <w:sz w:val="28"/>
                <w:szCs w:val="28"/>
              </w:rPr>
            </w:pPr>
            <w:r>
              <w:rPr>
                <w:rFonts w:hint="eastAsia" w:ascii="华文仿宋" w:hAnsi="华文仿宋" w:eastAsia="华文仿宋" w:cs="宋体"/>
                <w:kern w:val="0"/>
                <w:sz w:val="28"/>
                <w:szCs w:val="28"/>
              </w:rPr>
              <w:t>总天数</w:t>
            </w:r>
            <w:r>
              <w:rPr>
                <w:rFonts w:hint="eastAsia" w:ascii="华文仿宋" w:hAnsi="华文仿宋" w:eastAsia="华文仿宋" w:cs="宋体"/>
                <w:kern w:val="0"/>
                <w:sz w:val="28"/>
                <w:szCs w:val="28"/>
              </w:rPr>
              <w:t>5</w:t>
            </w:r>
            <w:r>
              <w:rPr>
                <w:rFonts w:hint="eastAsia" w:ascii="华文仿宋" w:hAnsi="华文仿宋" w:eastAsia="华文仿宋" w:cs="宋体"/>
                <w:kern w:val="0"/>
                <w:sz w:val="28"/>
                <w:szCs w:val="28"/>
              </w:rPr>
              <w:t>天</w:t>
            </w:r>
          </w:p>
        </w:tc>
      </w:tr>
      <w:tr>
        <w:tblPrEx>
          <w:tblCellMar>
            <w:top w:w="0" w:type="dxa"/>
            <w:left w:w="108" w:type="dxa"/>
            <w:bottom w:w="0" w:type="dxa"/>
            <w:right w:w="108" w:type="dxa"/>
          </w:tblCellMar>
        </w:tblPrEx>
        <w:trPr>
          <w:trHeight w:val="408" w:hRule="atLeast"/>
        </w:trPr>
        <w:tc>
          <w:tcPr>
            <w:tcW w:w="490" w:type="dxa"/>
            <w:vMerge w:val="continue"/>
            <w:tcBorders>
              <w:left w:val="single" w:color="auto" w:sz="8" w:space="0"/>
              <w:bottom w:val="single" w:color="000000" w:sz="8" w:space="0"/>
              <w:right w:val="single" w:color="auto" w:sz="4" w:space="0"/>
            </w:tcBorders>
            <w:vAlign w:val="center"/>
          </w:tcPr>
          <w:p>
            <w:pPr>
              <w:widowControl/>
              <w:jc w:val="left"/>
              <w:rPr>
                <w:rFonts w:ascii="黑体" w:hAnsi="黑体" w:eastAsia="黑体" w:cs="宋体"/>
                <w:kern w:val="0"/>
                <w:sz w:val="28"/>
                <w:szCs w:val="28"/>
              </w:rPr>
            </w:pPr>
          </w:p>
        </w:tc>
        <w:tc>
          <w:tcPr>
            <w:tcW w:w="1527" w:type="dxa"/>
            <w:tcBorders>
              <w:top w:val="single" w:color="auto" w:sz="4" w:space="0"/>
              <w:left w:val="nil"/>
              <w:bottom w:val="single" w:color="auto" w:sz="8" w:space="0"/>
              <w:right w:val="single" w:color="auto" w:sz="4" w:space="0"/>
            </w:tcBorders>
            <w:shd w:val="clear" w:color="auto" w:fill="auto"/>
            <w:noWrap/>
            <w:vAlign w:val="center"/>
          </w:tcPr>
          <w:p>
            <w:pPr>
              <w:widowControl/>
              <w:jc w:val="center"/>
              <w:rPr>
                <w:rFonts w:hint="default" w:ascii="黑体" w:hAnsi="黑体" w:eastAsia="黑体" w:cs="宋体"/>
                <w:kern w:val="0"/>
                <w:sz w:val="24"/>
                <w:szCs w:val="24"/>
                <w:lang w:val="en-US" w:eastAsia="zh-CN"/>
              </w:rPr>
            </w:pPr>
            <w:r>
              <w:rPr>
                <w:rFonts w:hint="eastAsia" w:ascii="黑体" w:hAnsi="黑体" w:eastAsia="黑体" w:cs="宋体"/>
                <w:kern w:val="0"/>
                <w:sz w:val="28"/>
                <w:szCs w:val="28"/>
                <w:lang w:val="en-US" w:eastAsia="zh-CN"/>
              </w:rPr>
              <w:t>访问</w:t>
            </w:r>
            <w:r>
              <w:rPr>
                <w:rFonts w:hint="eastAsia" w:ascii="黑体" w:hAnsi="黑体" w:eastAsia="黑体" w:cs="宋体"/>
                <w:kern w:val="0"/>
                <w:sz w:val="28"/>
                <w:szCs w:val="28"/>
              </w:rPr>
              <w:t>国家</w:t>
            </w:r>
            <w:r>
              <w:rPr>
                <w:rFonts w:hint="eastAsia" w:ascii="黑体" w:hAnsi="黑体" w:eastAsia="黑体" w:cs="宋体"/>
                <w:kern w:val="0"/>
                <w:sz w:val="28"/>
                <w:szCs w:val="28"/>
                <w:lang w:val="en-US" w:eastAsia="zh-CN"/>
              </w:rPr>
              <w:t>或地区</w:t>
            </w:r>
          </w:p>
          <w:p>
            <w:pPr>
              <w:widowControl/>
              <w:jc w:val="center"/>
              <w:rPr>
                <w:rFonts w:ascii="黑体" w:hAnsi="黑体" w:eastAsia="黑体" w:cs="宋体"/>
                <w:kern w:val="0"/>
                <w:sz w:val="28"/>
                <w:szCs w:val="28"/>
              </w:rPr>
            </w:pPr>
            <w:r>
              <w:rPr>
                <w:rFonts w:hint="eastAsia" w:ascii="黑体" w:hAnsi="黑体" w:eastAsia="黑体" w:cs="宋体"/>
                <w:kern w:val="0"/>
                <w:sz w:val="24"/>
                <w:szCs w:val="24"/>
              </w:rPr>
              <w:t>（含过境）</w:t>
            </w:r>
          </w:p>
        </w:tc>
        <w:tc>
          <w:tcPr>
            <w:tcW w:w="8449" w:type="dxa"/>
            <w:gridSpan w:val="3"/>
            <w:tcBorders>
              <w:top w:val="single" w:color="auto" w:sz="4" w:space="0"/>
              <w:left w:val="nil"/>
              <w:bottom w:val="single" w:color="auto" w:sz="8" w:space="0"/>
              <w:right w:val="single" w:color="000000" w:sz="8" w:space="0"/>
            </w:tcBorders>
            <w:shd w:val="clear" w:color="auto" w:fill="auto"/>
            <w:noWrap/>
          </w:tcPr>
          <w:p>
            <w:pPr>
              <w:widowControl/>
              <w:jc w:val="left"/>
              <w:rPr>
                <w:rFonts w:ascii="华文仿宋" w:hAnsi="华文仿宋" w:eastAsia="华文仿宋" w:cs="宋体"/>
                <w:kern w:val="0"/>
                <w:sz w:val="24"/>
                <w:szCs w:val="24"/>
              </w:rPr>
            </w:pPr>
            <w:r>
              <w:rPr>
                <w:rFonts w:hint="eastAsia" w:ascii="华文仿宋" w:hAnsi="华文仿宋" w:eastAsia="华文仿宋" w:cs="宋体"/>
                <w:kern w:val="0"/>
                <w:sz w:val="24"/>
                <w:szCs w:val="24"/>
              </w:rPr>
              <w:t>中国香港,香港</w:t>
            </w:r>
          </w:p>
        </w:tc>
      </w:tr>
      <w:tr>
        <w:tblPrEx>
          <w:tblCellMar>
            <w:top w:w="0" w:type="dxa"/>
            <w:left w:w="108" w:type="dxa"/>
            <w:bottom w:w="0" w:type="dxa"/>
            <w:right w:w="108" w:type="dxa"/>
          </w:tblCellMar>
        </w:tblPrEx>
        <w:trPr>
          <w:trHeight w:val="642" w:hRule="atLeast"/>
        </w:trPr>
        <w:tc>
          <w:tcPr>
            <w:tcW w:w="49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8"/>
                <w:szCs w:val="28"/>
              </w:rPr>
            </w:pPr>
            <w:r>
              <w:rPr>
                <w:rFonts w:hint="eastAsia" w:ascii="黑体" w:hAnsi="黑体" w:eastAsia="黑体"/>
                <w:sz w:val="28"/>
                <w:szCs w:val="28"/>
                <w:lang w:val="en-US" w:eastAsia="zh-CN"/>
              </w:rPr>
              <w:t>访问</w:t>
            </w:r>
            <w:r>
              <w:rPr>
                <w:rFonts w:hint="eastAsia" w:ascii="黑体" w:hAnsi="黑体" w:eastAsia="黑体"/>
                <w:sz w:val="28"/>
                <w:szCs w:val="28"/>
              </w:rPr>
              <w:t>报告</w:t>
            </w:r>
          </w:p>
        </w:tc>
        <w:tc>
          <w:tcPr>
            <w:tcW w:w="9976" w:type="dxa"/>
            <w:gridSpan w:val="4"/>
            <w:tcBorders>
              <w:top w:val="single" w:color="auto" w:sz="8" w:space="0"/>
              <w:left w:val="nil"/>
              <w:bottom w:val="single" w:color="auto" w:sz="4" w:space="0"/>
              <w:right w:val="single" w:color="auto" w:sz="8" w:space="0"/>
            </w:tcBorders>
            <w:shd w:val="clear" w:color="auto" w:fill="auto"/>
            <w:noWrap/>
          </w:tcPr>
          <w:p>
            <w:pPr>
              <w:pStyle w:val="11"/>
              <w:widowControl/>
              <w:numPr>
                <w:ilvl w:val="0"/>
                <w:numId w:val="1"/>
              </w:numPr>
              <w:ind w:firstLineChars="0"/>
              <w:rPr>
                <w:rFonts w:ascii="仿宋" w:hAnsi="仿宋" w:eastAsia="仿宋"/>
                <w:sz w:val="28"/>
                <w:szCs w:val="28"/>
              </w:rPr>
            </w:pPr>
            <w:r>
              <w:rPr>
                <w:rFonts w:hint="eastAsia" w:ascii="仿宋" w:hAnsi="仿宋" w:eastAsia="仿宋"/>
                <w:sz w:val="28"/>
                <w:szCs w:val="28"/>
              </w:rPr>
              <w:t>访问情况</w:t>
            </w:r>
            <w:r>
              <w:rPr>
                <w:rFonts w:ascii="仿宋" w:hAnsi="仿宋" w:eastAsia="仿宋"/>
                <w:sz w:val="28"/>
                <w:szCs w:val="28"/>
              </w:rPr>
              <w:t>：</w:t>
            </w:r>
          </w:p>
          <w:p>
            <w:pPr>
              <w:widowControl/>
              <w:rPr>
                <w:rFonts w:ascii="仿宋" w:hAnsi="仿宋" w:eastAsia="仿宋"/>
                <w:sz w:val="28"/>
                <w:szCs w:val="28"/>
              </w:rPr>
            </w:pPr>
            <w:r>
              <w:rPr>
                <w:rFonts w:hint="eastAsia" w:ascii="仿宋" w:hAnsi="仿宋" w:eastAsia="仿宋"/>
                <w:sz w:val="28"/>
                <w:szCs w:val="28"/>
              </w:rPr>
              <w:t>应香港大学儿科和青少年医学系刘宇隆教授的邀请，浙江大学周青教授于2025年01月22日至2025年01月26日赴香港大学参加“出生免疫错误的遗传学、分子机制与治疗”研讨会。</w:t>
            </w:r>
            <w:r>
              <w:rPr>
                <w:rFonts w:hint="eastAsia" w:ascii="仿宋" w:hAnsi="仿宋" w:eastAsia="仿宋"/>
                <w:sz w:val="28"/>
                <w:szCs w:val="28"/>
              </w:rPr>
              <w:br/>
            </w:r>
          </w:p>
          <w:p>
            <w:pPr>
              <w:widowControl/>
              <w:rPr>
                <w:rFonts w:ascii="仿宋" w:hAnsi="仿宋" w:eastAsia="仿宋"/>
                <w:sz w:val="28"/>
                <w:szCs w:val="28"/>
              </w:rPr>
            </w:pPr>
            <w:r>
              <w:rPr>
                <w:rFonts w:hint="eastAsia" w:ascii="仿宋" w:hAnsi="仿宋" w:eastAsia="仿宋"/>
                <w:sz w:val="28"/>
                <w:szCs w:val="28"/>
              </w:rPr>
              <w:t>二</w:t>
            </w:r>
            <w:r>
              <w:rPr>
                <w:rFonts w:ascii="仿宋" w:hAnsi="仿宋" w:eastAsia="仿宋"/>
                <w:sz w:val="28"/>
                <w:szCs w:val="28"/>
              </w:rPr>
              <w:t>、访问成果</w:t>
            </w:r>
          </w:p>
          <w:p>
            <w:pPr>
              <w:widowControl/>
              <w:rPr>
                <w:rFonts w:ascii="仿宋" w:hAnsi="仿宋" w:eastAsia="仿宋"/>
                <w:sz w:val="28"/>
                <w:szCs w:val="28"/>
              </w:rPr>
            </w:pPr>
            <w:r>
              <w:rPr>
                <w:rFonts w:hint="eastAsia" w:ascii="仿宋" w:hAnsi="仿宋" w:eastAsia="仿宋"/>
                <w:sz w:val="28"/>
                <w:szCs w:val="28"/>
              </w:rPr>
              <w:t>与香港大学儿科和青少年医学系刘宇隆教授探讨遗传性出生免疫错误疾病的合作研究，特别是港澳地区与东南亚国家患者的遗传诊断、致病机制与临床治疗的科研合作模式。</w:t>
            </w:r>
          </w:p>
          <w:p>
            <w:pPr>
              <w:widowControl/>
              <w:rPr>
                <w:rFonts w:ascii="仿宋" w:hAnsi="仿宋" w:eastAsia="仿宋"/>
                <w:sz w:val="28"/>
                <w:szCs w:val="28"/>
              </w:rPr>
            </w:pPr>
            <w:r>
              <w:rPr>
                <w:rFonts w:hint="eastAsia" w:ascii="仿宋" w:hAnsi="仿宋" w:eastAsia="仿宋"/>
                <w:sz w:val="28"/>
                <w:szCs w:val="28"/>
              </w:rPr>
              <w:t>三</w:t>
            </w:r>
            <w:r>
              <w:rPr>
                <w:rFonts w:ascii="仿宋" w:hAnsi="仿宋" w:eastAsia="仿宋"/>
                <w:sz w:val="28"/>
                <w:szCs w:val="28"/>
              </w:rPr>
              <w:t>、工作</w:t>
            </w:r>
            <w:r>
              <w:rPr>
                <w:rFonts w:hint="eastAsia" w:ascii="仿宋" w:hAnsi="仿宋" w:eastAsia="仿宋"/>
                <w:sz w:val="28"/>
                <w:szCs w:val="28"/>
              </w:rPr>
              <w:t>建议</w:t>
            </w:r>
          </w:p>
          <w:p>
            <w:pPr>
              <w:widowControl/>
              <w:rPr>
                <w:rFonts w:ascii="仿宋" w:hAnsi="仿宋" w:eastAsia="仿宋"/>
                <w:sz w:val="28"/>
                <w:szCs w:val="28"/>
              </w:rPr>
            </w:pPr>
            <w:r>
              <w:rPr>
                <w:rFonts w:hint="eastAsia" w:ascii="仿宋" w:hAnsi="仿宋" w:eastAsia="仿宋"/>
                <w:sz w:val="28"/>
                <w:szCs w:val="28"/>
              </w:rPr>
              <w:t>无</w:t>
            </w:r>
          </w:p>
        </w:tc>
      </w:tr>
    </w:tbl>
    <w:p>
      <w:pPr>
        <w:rPr>
          <w:rFonts w:ascii="微软雅黑" w:hAnsi="微软雅黑" w:eastAsia="微软雅黑" w:cs="Calibri"/>
          <w:sz w:val="22"/>
        </w:rPr>
      </w:pPr>
      <w:r>
        <w:rPr>
          <w:rFonts w:hint="eastAsia" w:ascii="微软雅黑" w:hAnsi="微软雅黑" w:eastAsia="微软雅黑" w:cs="Calibri"/>
          <w:sz w:val="22"/>
        </w:rPr>
        <w:t>备注：1. 团组（或本人）执行本次因公</w:t>
      </w:r>
      <w:r>
        <w:rPr>
          <w:rFonts w:hint="eastAsia" w:ascii="微软雅黑" w:hAnsi="微软雅黑" w:eastAsia="微软雅黑" w:cs="Calibri"/>
          <w:sz w:val="22"/>
          <w:lang w:val="en-US" w:eastAsia="zh-CN"/>
        </w:rPr>
        <w:t>访问</w:t>
      </w:r>
      <w:r>
        <w:rPr>
          <w:rFonts w:hint="eastAsia" w:ascii="微软雅黑" w:hAnsi="微软雅黑" w:eastAsia="微软雅黑" w:cs="Calibri"/>
          <w:sz w:val="22"/>
        </w:rPr>
        <w:t>任务情况良好，主要任务、日程安排、团组成员等与任务申报时一致，如不一致，需详细说明；２.</w:t>
      </w:r>
      <w:r>
        <w:rPr>
          <w:rFonts w:ascii="微软雅黑" w:hAnsi="微软雅黑" w:eastAsia="微软雅黑" w:cs="Calibri"/>
          <w:sz w:val="22"/>
        </w:rPr>
        <w:t xml:space="preserve"> </w:t>
      </w:r>
      <w:r>
        <w:rPr>
          <w:rFonts w:hint="eastAsia" w:ascii="微软雅黑" w:hAnsi="微软雅黑" w:eastAsia="微软雅黑" w:cs="Calibri"/>
          <w:sz w:val="22"/>
        </w:rPr>
        <w:t>须于</w:t>
      </w:r>
      <w:r>
        <w:rPr>
          <w:rFonts w:ascii="微软雅黑" w:hAnsi="微软雅黑" w:eastAsia="微软雅黑" w:cs="Calibri"/>
          <w:sz w:val="22"/>
        </w:rPr>
        <w:t>回国（</w:t>
      </w:r>
      <w:r>
        <w:rPr>
          <w:rFonts w:hint="eastAsia" w:ascii="微软雅黑" w:hAnsi="微软雅黑" w:eastAsia="微软雅黑" w:cs="Calibri"/>
          <w:sz w:val="22"/>
        </w:rPr>
        <w:t>境</w:t>
      </w:r>
      <w:r>
        <w:rPr>
          <w:rFonts w:ascii="微软雅黑" w:hAnsi="微软雅黑" w:eastAsia="微软雅黑" w:cs="Calibri"/>
          <w:sz w:val="22"/>
        </w:rPr>
        <w:t>）</w:t>
      </w:r>
      <w:r>
        <w:rPr>
          <w:rFonts w:hint="eastAsia" w:ascii="微软雅黑" w:hAnsi="微软雅黑" w:eastAsia="微软雅黑" w:cs="Calibri"/>
          <w:sz w:val="22"/>
        </w:rPr>
        <w:t>后</w:t>
      </w:r>
      <w:r>
        <w:rPr>
          <w:rFonts w:ascii="微软雅黑" w:hAnsi="微软雅黑" w:eastAsia="微软雅黑" w:cs="Calibri"/>
          <w:sz w:val="22"/>
        </w:rPr>
        <w:t>一个月内在本单位内部</w:t>
      </w:r>
      <w:r>
        <w:rPr>
          <w:rFonts w:hint="eastAsia" w:ascii="微软雅黑" w:hAnsi="微软雅黑" w:eastAsia="微软雅黑" w:cs="Calibri"/>
          <w:sz w:val="22"/>
        </w:rPr>
        <w:t>完成</w:t>
      </w:r>
      <w:r>
        <w:rPr>
          <w:rFonts w:hint="eastAsia" w:ascii="微软雅黑" w:hAnsi="微软雅黑" w:eastAsia="微软雅黑" w:cs="Calibri"/>
          <w:sz w:val="22"/>
          <w:lang w:val="en-US" w:eastAsia="zh-CN"/>
        </w:rPr>
        <w:t>访问</w:t>
      </w:r>
      <w:bookmarkStart w:id="0" w:name="_GoBack"/>
      <w:bookmarkEnd w:id="0"/>
      <w:r>
        <w:rPr>
          <w:rFonts w:ascii="微软雅黑" w:hAnsi="微软雅黑" w:eastAsia="微软雅黑" w:cs="Calibri"/>
          <w:sz w:val="22"/>
        </w:rPr>
        <w:t>报告公示</w:t>
      </w:r>
      <w:r>
        <w:rPr>
          <w:rFonts w:hint="eastAsia" w:ascii="微软雅黑" w:hAnsi="微软雅黑" w:eastAsia="微软雅黑" w:cs="Calibri"/>
          <w:sz w:val="22"/>
        </w:rPr>
        <w:t>。</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A00FA0"/>
    <w:multiLevelType w:val="multilevel"/>
    <w:tmpl w:val="31A00FA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QzZDgwYmMwYWFiMWQ0ZTgzZmVmNjc3MzJkZjQ3Y2IifQ=="/>
  </w:docVars>
  <w:rsids>
    <w:rsidRoot w:val="000577BB"/>
    <w:rsid w:val="000577BB"/>
    <w:rsid w:val="000631D1"/>
    <w:rsid w:val="000A4E82"/>
    <w:rsid w:val="000C6C57"/>
    <w:rsid w:val="00110A66"/>
    <w:rsid w:val="001157F6"/>
    <w:rsid w:val="00156E5C"/>
    <w:rsid w:val="001D3B42"/>
    <w:rsid w:val="00214531"/>
    <w:rsid w:val="00220824"/>
    <w:rsid w:val="00286CDC"/>
    <w:rsid w:val="002C081C"/>
    <w:rsid w:val="00360E7E"/>
    <w:rsid w:val="00386F88"/>
    <w:rsid w:val="003B54A3"/>
    <w:rsid w:val="00457069"/>
    <w:rsid w:val="00481FDB"/>
    <w:rsid w:val="004B1A98"/>
    <w:rsid w:val="0051129A"/>
    <w:rsid w:val="005A1603"/>
    <w:rsid w:val="005E1DF7"/>
    <w:rsid w:val="005F064B"/>
    <w:rsid w:val="00627318"/>
    <w:rsid w:val="006726DC"/>
    <w:rsid w:val="006D6CAC"/>
    <w:rsid w:val="007D06E3"/>
    <w:rsid w:val="008030D2"/>
    <w:rsid w:val="009229A6"/>
    <w:rsid w:val="009F2FEF"/>
    <w:rsid w:val="00B042F1"/>
    <w:rsid w:val="00B13644"/>
    <w:rsid w:val="00B3604D"/>
    <w:rsid w:val="00B85F16"/>
    <w:rsid w:val="00C22D97"/>
    <w:rsid w:val="00C9695A"/>
    <w:rsid w:val="00CF5D1F"/>
    <w:rsid w:val="00E26355"/>
    <w:rsid w:val="00E44818"/>
    <w:rsid w:val="00E53A1B"/>
    <w:rsid w:val="00E827B1"/>
    <w:rsid w:val="00EA4396"/>
    <w:rsid w:val="00EA7753"/>
    <w:rsid w:val="00EB4E79"/>
    <w:rsid w:val="00EF63E9"/>
    <w:rsid w:val="00F65604"/>
    <w:rsid w:val="00FB4E19"/>
    <w:rsid w:val="00FF798F"/>
    <w:rsid w:val="469A56C7"/>
    <w:rsid w:val="47CA08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标题 1 Char"/>
    <w:basedOn w:val="7"/>
    <w:link w:val="2"/>
    <w:uiPriority w:val="9"/>
    <w:rPr>
      <w:rFonts w:ascii="宋体" w:hAnsi="宋体" w:eastAsia="宋体" w:cs="宋体"/>
      <w:b/>
      <w:bCs/>
      <w:kern w:val="36"/>
      <w:sz w:val="48"/>
      <w:szCs w:val="48"/>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EB9CC-6EC0-4D32-B17C-2794C98EE62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47</Words>
  <Characters>272</Characters>
  <Lines>2</Lines>
  <Paragraphs>1</Paragraphs>
  <TotalTime>538</TotalTime>
  <ScaleCrop>false</ScaleCrop>
  <LinksUpToDate>false</LinksUpToDate>
  <CharactersWithSpaces>318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2018-03-12T02:31:00Z</dcterms:created>
  <dc:creator>陈洋</dc:creator>
  <cp:lastModifiedBy>许西加</cp:lastModifiedBy>
  <dcterms:modified xsi:type="dcterms:W3CDTF">2024-05-17T03:56:09Z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C72CC829FC2D47FC863BD2B969816494_13</vt:lpwstr>
  </property>
</Properties>
</file>